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92" w:rsidRDefault="00CB43A1">
      <w:r>
        <w:rPr>
          <w:noProof/>
        </w:rPr>
        <w:drawing>
          <wp:anchor distT="0" distB="0" distL="114300" distR="114300" simplePos="0" relativeHeight="251660288" behindDoc="0" locked="0" layoutInCell="1" allowOverlap="1" wp14:anchorId="02C8D136" wp14:editId="6D0EC25B">
            <wp:simplePos x="0" y="0"/>
            <wp:positionH relativeFrom="page">
              <wp:align>right</wp:align>
            </wp:positionH>
            <wp:positionV relativeFrom="paragraph">
              <wp:posOffset>-913765</wp:posOffset>
            </wp:positionV>
            <wp:extent cx="7810140" cy="17811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32" t="22923" r="56958" b="42694"/>
                    <a:stretch/>
                  </pic:blipFill>
                  <pic:spPr bwMode="auto">
                    <a:xfrm>
                      <a:off x="0" y="0"/>
                      <a:ext cx="7810140" cy="178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5C94" w:rsidRDefault="004D5C94" w:rsidP="009B4DE0">
      <w:pPr>
        <w:jc w:val="both"/>
      </w:pPr>
    </w:p>
    <w:p w:rsidR="00CB43A1" w:rsidRDefault="00CB43A1" w:rsidP="009B4DE0">
      <w:pPr>
        <w:jc w:val="both"/>
        <w:rPr>
          <w:rFonts w:ascii="Arial" w:hAnsi="Arial" w:cs="Arial"/>
          <w:b/>
        </w:rPr>
      </w:pPr>
    </w:p>
    <w:p w:rsidR="00CB43A1" w:rsidRDefault="00CB43A1" w:rsidP="009B4DE0">
      <w:pPr>
        <w:jc w:val="both"/>
        <w:rPr>
          <w:rFonts w:ascii="Arial" w:hAnsi="Arial" w:cs="Arial"/>
          <w:b/>
        </w:rPr>
      </w:pPr>
    </w:p>
    <w:p w:rsidR="00CB43A1" w:rsidRDefault="00CB43A1" w:rsidP="009B4DE0">
      <w:pPr>
        <w:jc w:val="both"/>
        <w:rPr>
          <w:rFonts w:ascii="Arial" w:hAnsi="Arial" w:cs="Arial"/>
          <w:b/>
        </w:rPr>
      </w:pPr>
    </w:p>
    <w:p w:rsidR="00CB43A1" w:rsidRDefault="00CB43A1" w:rsidP="009B4DE0">
      <w:pPr>
        <w:jc w:val="both"/>
        <w:rPr>
          <w:rFonts w:ascii="Arial" w:hAnsi="Arial" w:cs="Arial"/>
          <w:b/>
        </w:rPr>
      </w:pPr>
    </w:p>
    <w:p w:rsidR="00155676" w:rsidRPr="00CB43A1" w:rsidRDefault="00155676" w:rsidP="009B4DE0">
      <w:pPr>
        <w:jc w:val="both"/>
        <w:rPr>
          <w:rFonts w:ascii="Lato Light" w:hAnsi="Lato Light" w:cs="Arial"/>
          <w:b/>
        </w:rPr>
      </w:pPr>
      <w:r w:rsidRPr="00CB43A1">
        <w:rPr>
          <w:rFonts w:ascii="Lato Light" w:hAnsi="Lato Light" w:cs="Arial"/>
          <w:b/>
        </w:rPr>
        <w:t>Frequently Asked Questions –</w:t>
      </w:r>
    </w:p>
    <w:p w:rsidR="00155676" w:rsidRPr="00CB43A1" w:rsidRDefault="00155676" w:rsidP="009B4DE0">
      <w:pPr>
        <w:jc w:val="both"/>
        <w:rPr>
          <w:rFonts w:ascii="Lato Light" w:hAnsi="Lato Light" w:cs="Arial"/>
        </w:rPr>
      </w:pPr>
    </w:p>
    <w:p w:rsidR="00155676" w:rsidRPr="00CB43A1" w:rsidRDefault="00155676" w:rsidP="00155676">
      <w:pPr>
        <w:pStyle w:val="ListParagraph"/>
        <w:numPr>
          <w:ilvl w:val="0"/>
          <w:numId w:val="5"/>
        </w:numPr>
        <w:contextualSpacing w:val="0"/>
        <w:rPr>
          <w:rFonts w:ascii="Lato Light" w:hAnsi="Lato Light"/>
          <w:szCs w:val="22"/>
        </w:rPr>
      </w:pPr>
      <w:r w:rsidRPr="00CB43A1">
        <w:rPr>
          <w:rFonts w:ascii="Lato Light" w:hAnsi="Lato Light" w:cs="Arial"/>
          <w:color w:val="000000" w:themeColor="text1"/>
        </w:rPr>
        <w:t xml:space="preserve">Do we apply for GST or not? </w:t>
      </w:r>
      <w:bookmarkStart w:id="0" w:name="_GoBack"/>
      <w:bookmarkEnd w:id="0"/>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All applications will now be NET GST</w:t>
      </w:r>
    </w:p>
    <w:p w:rsidR="00155676" w:rsidRPr="00CB43A1" w:rsidRDefault="00155676" w:rsidP="00155676">
      <w:pPr>
        <w:pStyle w:val="ListParagraph"/>
        <w:rPr>
          <w:rFonts w:ascii="Lato Light" w:hAnsi="Lato Light"/>
          <w:color w:val="FF0000"/>
          <w:szCs w:val="22"/>
        </w:rPr>
      </w:pPr>
    </w:p>
    <w:p w:rsidR="00155676" w:rsidRPr="00CB43A1" w:rsidRDefault="00155676" w:rsidP="00155676">
      <w:pPr>
        <w:pStyle w:val="ListParagraph"/>
        <w:numPr>
          <w:ilvl w:val="0"/>
          <w:numId w:val="5"/>
        </w:numPr>
        <w:contextualSpacing w:val="0"/>
        <w:rPr>
          <w:rFonts w:ascii="Lato Light" w:hAnsi="Lato Light"/>
          <w:color w:val="000000" w:themeColor="text1"/>
        </w:rPr>
      </w:pPr>
      <w:r w:rsidRPr="00CB43A1">
        <w:rPr>
          <w:rFonts w:ascii="Lato Light" w:hAnsi="Lato Light" w:cs="Arial"/>
          <w:color w:val="000000" w:themeColor="text1"/>
        </w:rPr>
        <w:t>How do we pay funding out and what paper work is required for payment?</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 xml:space="preserve">Invoices made out to the RHFF will be </w:t>
      </w:r>
      <w:r w:rsidR="00254C8E" w:rsidRPr="00CB43A1">
        <w:rPr>
          <w:rFonts w:ascii="Lato Light" w:hAnsi="Lato Light" w:cs="Arial"/>
          <w:i/>
          <w:color w:val="FF0000"/>
        </w:rPr>
        <w:t>paid only with supporting quotes/invoices</w:t>
      </w:r>
      <w:r w:rsidRPr="00CB43A1">
        <w:rPr>
          <w:rFonts w:ascii="Lato Light" w:hAnsi="Lato Light" w:cs="Arial"/>
          <w:i/>
          <w:color w:val="FF0000"/>
        </w:rPr>
        <w:t xml:space="preserve">/receipts </w:t>
      </w:r>
    </w:p>
    <w:p w:rsidR="00155676" w:rsidRPr="00CB43A1" w:rsidRDefault="00155676" w:rsidP="00155676">
      <w:pPr>
        <w:pStyle w:val="ListParagraph"/>
        <w:rPr>
          <w:rFonts w:ascii="Lato Light" w:hAnsi="Lato Light"/>
          <w:i/>
          <w:color w:val="FF0000"/>
        </w:rPr>
      </w:pPr>
    </w:p>
    <w:p w:rsidR="00155676" w:rsidRPr="00CB43A1" w:rsidRDefault="00155676" w:rsidP="00155676">
      <w:pPr>
        <w:pStyle w:val="ListParagraph"/>
        <w:numPr>
          <w:ilvl w:val="0"/>
          <w:numId w:val="5"/>
        </w:numPr>
        <w:contextualSpacing w:val="0"/>
        <w:rPr>
          <w:rFonts w:ascii="Lato Light" w:hAnsi="Lato Light"/>
          <w:color w:val="000000" w:themeColor="text1"/>
        </w:rPr>
      </w:pPr>
      <w:r w:rsidRPr="00CB43A1">
        <w:rPr>
          <w:rFonts w:ascii="Lato Light" w:hAnsi="Lato Light" w:cs="Arial"/>
          <w:color w:val="000000" w:themeColor="text1"/>
        </w:rPr>
        <w:t>How long will we honour unpaid applications – procedure for extensions?</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Applications are for one financial year unless an extension is granted – this can be done with a letter to the board from the group stating why an extension is needed. The Board will discuss and vote accordingly.</w:t>
      </w:r>
    </w:p>
    <w:p w:rsidR="00155676" w:rsidRPr="00CB43A1" w:rsidRDefault="00155676" w:rsidP="00155676">
      <w:pPr>
        <w:pStyle w:val="ListParagraph"/>
        <w:rPr>
          <w:rFonts w:ascii="Lato Light" w:hAnsi="Lato Light"/>
          <w:i/>
          <w:color w:val="FF0000"/>
        </w:rPr>
      </w:pPr>
    </w:p>
    <w:p w:rsidR="00155676" w:rsidRPr="00CB43A1" w:rsidRDefault="00155676" w:rsidP="00155676">
      <w:pPr>
        <w:pStyle w:val="ListParagraph"/>
        <w:numPr>
          <w:ilvl w:val="0"/>
          <w:numId w:val="5"/>
        </w:numPr>
        <w:contextualSpacing w:val="0"/>
        <w:rPr>
          <w:rFonts w:ascii="Lato Light" w:hAnsi="Lato Light"/>
          <w:color w:val="000000" w:themeColor="text1"/>
        </w:rPr>
      </w:pPr>
      <w:r w:rsidRPr="00CB43A1">
        <w:rPr>
          <w:rFonts w:ascii="Lato Light" w:hAnsi="Lato Light" w:cs="Arial"/>
          <w:color w:val="000000" w:themeColor="text1"/>
        </w:rPr>
        <w:t>Can groups be paid funds in advance with no proof of purchase?</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Yes – written approval will have to be granted and will depend on type of project and why funds are needed up front.</w:t>
      </w:r>
    </w:p>
    <w:p w:rsidR="00155676" w:rsidRPr="00CB43A1" w:rsidRDefault="00155676" w:rsidP="00155676">
      <w:pPr>
        <w:pStyle w:val="ListParagraph"/>
        <w:rPr>
          <w:rFonts w:ascii="Lato Light" w:hAnsi="Lato Light"/>
          <w:i/>
          <w:color w:val="FF0000"/>
        </w:rPr>
      </w:pPr>
    </w:p>
    <w:p w:rsidR="00155676" w:rsidRPr="00CB43A1" w:rsidRDefault="00155676" w:rsidP="00155676">
      <w:pPr>
        <w:pStyle w:val="ListParagraph"/>
        <w:numPr>
          <w:ilvl w:val="0"/>
          <w:numId w:val="5"/>
        </w:numPr>
        <w:contextualSpacing w:val="0"/>
        <w:rPr>
          <w:rFonts w:ascii="Lato Light" w:hAnsi="Lato Light"/>
          <w:color w:val="000000" w:themeColor="text1"/>
        </w:rPr>
      </w:pPr>
      <w:r w:rsidRPr="00CB43A1">
        <w:rPr>
          <w:rFonts w:ascii="Lato Light" w:hAnsi="Lato Light" w:cs="Arial"/>
          <w:color w:val="000000" w:themeColor="text1"/>
        </w:rPr>
        <w:t>Can we spend the money on something different to what we applied for?</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No – you will be paid funds for what your application/ grant agreement is for.</w:t>
      </w:r>
    </w:p>
    <w:p w:rsidR="00155676" w:rsidRPr="00CB43A1" w:rsidRDefault="00155676" w:rsidP="00155676">
      <w:pPr>
        <w:pStyle w:val="ListParagraph"/>
        <w:rPr>
          <w:rFonts w:ascii="Lato Light" w:hAnsi="Lato Light"/>
          <w:i/>
          <w:color w:val="FF0000"/>
        </w:rPr>
      </w:pPr>
    </w:p>
    <w:p w:rsidR="00155676" w:rsidRPr="00CB43A1" w:rsidRDefault="00155676" w:rsidP="00155676">
      <w:pPr>
        <w:pStyle w:val="ListParagraph"/>
        <w:numPr>
          <w:ilvl w:val="0"/>
          <w:numId w:val="5"/>
        </w:numPr>
        <w:contextualSpacing w:val="0"/>
        <w:rPr>
          <w:rFonts w:ascii="Lato Light" w:hAnsi="Lato Light" w:cs="Arial"/>
          <w:color w:val="000000" w:themeColor="text1"/>
        </w:rPr>
      </w:pPr>
      <w:r w:rsidRPr="00CB43A1">
        <w:rPr>
          <w:rFonts w:ascii="Lato Light" w:hAnsi="Lato Light" w:cs="Arial"/>
          <w:color w:val="000000" w:themeColor="text1"/>
        </w:rPr>
        <w:t>We have left over money can we still use that for something different?</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No – if the project is under budget but complete the funds will not be available for something else.</w:t>
      </w:r>
    </w:p>
    <w:p w:rsidR="00155676" w:rsidRPr="00CB43A1" w:rsidRDefault="00155676" w:rsidP="00155676">
      <w:pPr>
        <w:pStyle w:val="ListParagraph"/>
        <w:rPr>
          <w:rFonts w:ascii="Lato Light" w:hAnsi="Lato Light" w:cs="Arial"/>
          <w:i/>
          <w:color w:val="FF0000"/>
        </w:rPr>
      </w:pPr>
    </w:p>
    <w:p w:rsidR="00155676" w:rsidRPr="00CB43A1" w:rsidRDefault="00155676" w:rsidP="00155676">
      <w:pPr>
        <w:pStyle w:val="ListParagraph"/>
        <w:numPr>
          <w:ilvl w:val="0"/>
          <w:numId w:val="5"/>
        </w:numPr>
        <w:contextualSpacing w:val="0"/>
        <w:rPr>
          <w:rFonts w:ascii="Lato Light" w:hAnsi="Lato Light" w:cs="Arial"/>
          <w:color w:val="000000" w:themeColor="text1"/>
        </w:rPr>
      </w:pPr>
      <w:r w:rsidRPr="00CB43A1">
        <w:rPr>
          <w:rFonts w:ascii="Lato Light" w:hAnsi="Lato Light" w:cs="Arial"/>
          <w:color w:val="000000" w:themeColor="text1"/>
        </w:rPr>
        <w:t>What projects are the RHFF most likely to fund?</w:t>
      </w:r>
    </w:p>
    <w:p w:rsidR="00155676" w:rsidRPr="00CB43A1" w:rsidRDefault="00155676" w:rsidP="00155676">
      <w:pPr>
        <w:pStyle w:val="ListParagraph"/>
        <w:rPr>
          <w:rFonts w:ascii="Lato Light" w:hAnsi="Lato Light" w:cs="Arial"/>
          <w:i/>
          <w:color w:val="FF0000"/>
        </w:rPr>
      </w:pPr>
      <w:r w:rsidRPr="00CB43A1">
        <w:rPr>
          <w:rFonts w:ascii="Lato Light" w:hAnsi="Lato Light" w:cs="Arial"/>
          <w:i/>
          <w:color w:val="FF0000"/>
        </w:rPr>
        <w:t>Projects that a</w:t>
      </w:r>
      <w:r w:rsidR="00AD6468" w:rsidRPr="00CB43A1">
        <w:rPr>
          <w:rFonts w:ascii="Lato Light" w:hAnsi="Lato Light" w:cs="Arial"/>
          <w:i/>
          <w:color w:val="FF0000"/>
        </w:rPr>
        <w:t>lign</w:t>
      </w:r>
      <w:r w:rsidRPr="00CB43A1">
        <w:rPr>
          <w:rFonts w:ascii="Lato Light" w:hAnsi="Lato Light" w:cs="Arial"/>
          <w:i/>
          <w:color w:val="FF0000"/>
        </w:rPr>
        <w:t xml:space="preserve"> with the Shire of Ravensthorpe Strategic Community Plan.</w:t>
      </w:r>
    </w:p>
    <w:p w:rsidR="00155676" w:rsidRPr="00CB43A1" w:rsidRDefault="00155676" w:rsidP="00155676">
      <w:pPr>
        <w:pStyle w:val="ListParagraph"/>
        <w:rPr>
          <w:rFonts w:ascii="Lato Light" w:hAnsi="Lato Light" w:cs="Arial"/>
          <w:color w:val="000000" w:themeColor="text1"/>
        </w:rPr>
      </w:pPr>
    </w:p>
    <w:p w:rsidR="00155676" w:rsidRPr="00CB43A1" w:rsidRDefault="00155676" w:rsidP="00155676">
      <w:pPr>
        <w:pStyle w:val="ListParagraph"/>
        <w:numPr>
          <w:ilvl w:val="0"/>
          <w:numId w:val="5"/>
        </w:numPr>
        <w:contextualSpacing w:val="0"/>
        <w:rPr>
          <w:rFonts w:ascii="Lato Light" w:hAnsi="Lato Light" w:cs="Arial"/>
          <w:color w:val="000000" w:themeColor="text1"/>
        </w:rPr>
      </w:pPr>
      <w:r w:rsidRPr="00CB43A1">
        <w:rPr>
          <w:rFonts w:ascii="Lato Light" w:hAnsi="Lato Light" w:cs="Arial"/>
          <w:color w:val="000000" w:themeColor="text1"/>
        </w:rPr>
        <w:t>What is the acquittal process?</w:t>
      </w:r>
    </w:p>
    <w:p w:rsidR="00155676" w:rsidRPr="00CB43A1" w:rsidRDefault="00155676" w:rsidP="00155676">
      <w:pPr>
        <w:pStyle w:val="ListParagraph"/>
        <w:rPr>
          <w:rFonts w:ascii="Lato Light" w:hAnsi="Lato Light" w:cs="Arial"/>
          <w:i/>
          <w:color w:val="000000" w:themeColor="text1"/>
        </w:rPr>
      </w:pPr>
      <w:r w:rsidRPr="00CB43A1">
        <w:rPr>
          <w:rFonts w:ascii="Lato Light" w:hAnsi="Lato Light" w:cs="Arial"/>
          <w:i/>
          <w:color w:val="FF0000"/>
        </w:rPr>
        <w:t>An acquittal form will be sent out with your grant agreement and will have to be completed before 30 June of the year funding was granted unless an extension has been granted.</w:t>
      </w:r>
    </w:p>
    <w:p w:rsidR="00155676" w:rsidRPr="00CB43A1" w:rsidRDefault="00155676" w:rsidP="009B4DE0">
      <w:pPr>
        <w:jc w:val="both"/>
        <w:rPr>
          <w:rFonts w:ascii="Lato Light" w:hAnsi="Lato Light" w:cs="Arial"/>
        </w:rPr>
      </w:pPr>
    </w:p>
    <w:sectPr w:rsidR="00155676" w:rsidRPr="00CB43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7C" w:rsidRDefault="0078207C" w:rsidP="0078207C">
      <w:r>
        <w:separator/>
      </w:r>
    </w:p>
  </w:endnote>
  <w:endnote w:type="continuationSeparator" w:id="0">
    <w:p w:rsidR="0078207C" w:rsidRDefault="0078207C" w:rsidP="007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394871"/>
      <w:docPartObj>
        <w:docPartGallery w:val="Page Numbers (Bottom of Page)"/>
        <w:docPartUnique/>
      </w:docPartObj>
    </w:sdtPr>
    <w:sdtEndPr>
      <w:rPr>
        <w:noProof/>
      </w:rPr>
    </w:sdtEndPr>
    <w:sdtContent>
      <w:p w:rsidR="0078207C" w:rsidRDefault="0078207C">
        <w:pPr>
          <w:pStyle w:val="Footer"/>
          <w:jc w:val="right"/>
        </w:pPr>
        <w:r>
          <w:fldChar w:fldCharType="begin"/>
        </w:r>
        <w:r>
          <w:instrText xml:space="preserve"> PAGE   \* MERGEFORMAT </w:instrText>
        </w:r>
        <w:r>
          <w:fldChar w:fldCharType="separate"/>
        </w:r>
        <w:r w:rsidR="00CB43A1">
          <w:rPr>
            <w:noProof/>
          </w:rPr>
          <w:t>1</w:t>
        </w:r>
        <w:r>
          <w:rPr>
            <w:noProof/>
          </w:rPr>
          <w:fldChar w:fldCharType="end"/>
        </w:r>
      </w:p>
    </w:sdtContent>
  </w:sdt>
  <w:p w:rsidR="0078207C" w:rsidRDefault="0078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7C" w:rsidRDefault="0078207C" w:rsidP="0078207C">
      <w:r>
        <w:separator/>
      </w:r>
    </w:p>
  </w:footnote>
  <w:footnote w:type="continuationSeparator" w:id="0">
    <w:p w:rsidR="0078207C" w:rsidRDefault="0078207C" w:rsidP="0078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C1C98"/>
    <w:multiLevelType w:val="hybridMultilevel"/>
    <w:tmpl w:val="7778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A31E62"/>
    <w:multiLevelType w:val="hybridMultilevel"/>
    <w:tmpl w:val="53401E80"/>
    <w:lvl w:ilvl="0" w:tplc="B6F67B0E">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72C41A0B"/>
    <w:multiLevelType w:val="hybridMultilevel"/>
    <w:tmpl w:val="B96CE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32F2319"/>
    <w:multiLevelType w:val="multilevel"/>
    <w:tmpl w:val="3A706468"/>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hanging="72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89"/>
    <w:rsid w:val="000D218A"/>
    <w:rsid w:val="00155676"/>
    <w:rsid w:val="00254C8E"/>
    <w:rsid w:val="004D5C94"/>
    <w:rsid w:val="00510E03"/>
    <w:rsid w:val="005902CE"/>
    <w:rsid w:val="00707AB1"/>
    <w:rsid w:val="007260B8"/>
    <w:rsid w:val="0078207C"/>
    <w:rsid w:val="007C151C"/>
    <w:rsid w:val="007F416F"/>
    <w:rsid w:val="00901E9A"/>
    <w:rsid w:val="009113D4"/>
    <w:rsid w:val="009B4DE0"/>
    <w:rsid w:val="00A858B9"/>
    <w:rsid w:val="00AC0D7E"/>
    <w:rsid w:val="00AD6468"/>
    <w:rsid w:val="00AF1566"/>
    <w:rsid w:val="00B530DF"/>
    <w:rsid w:val="00B734F1"/>
    <w:rsid w:val="00BB0BAA"/>
    <w:rsid w:val="00CB43A1"/>
    <w:rsid w:val="00CB6A80"/>
    <w:rsid w:val="00CC6F2E"/>
    <w:rsid w:val="00CF07BB"/>
    <w:rsid w:val="00D72789"/>
    <w:rsid w:val="00DF2A43"/>
    <w:rsid w:val="00E95B92"/>
    <w:rsid w:val="00EA2C7F"/>
    <w:rsid w:val="00FB25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C3809-75EC-45DA-9534-6B9F129E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89"/>
    <w:pPr>
      <w:spacing w:after="0" w:line="240" w:lineRule="auto"/>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D72789"/>
    <w:pPr>
      <w:keepNext/>
      <w:outlineLvl w:val="0"/>
    </w:pPr>
    <w:rPr>
      <w:rFonts w:ascii="Rockwell" w:hAnsi="Rockwell"/>
      <w:b/>
      <w:sz w:val="32"/>
      <w:lang w:val="en-US"/>
    </w:rPr>
  </w:style>
  <w:style w:type="paragraph" w:styleId="Heading2">
    <w:name w:val="heading 2"/>
    <w:basedOn w:val="Normal"/>
    <w:next w:val="Normal"/>
    <w:link w:val="Heading2Char"/>
    <w:uiPriority w:val="9"/>
    <w:unhideWhenUsed/>
    <w:qFormat/>
    <w:rsid w:val="004D5C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89"/>
    <w:rPr>
      <w:rFonts w:ascii="Rockwell" w:eastAsia="Times New Roman" w:hAnsi="Rockwell" w:cs="Times New Roman"/>
      <w:b/>
      <w:sz w:val="32"/>
      <w:szCs w:val="20"/>
      <w:lang w:val="en-US"/>
    </w:rPr>
  </w:style>
  <w:style w:type="paragraph" w:styleId="BalloonText">
    <w:name w:val="Balloon Text"/>
    <w:basedOn w:val="Normal"/>
    <w:link w:val="BalloonTextChar"/>
    <w:uiPriority w:val="99"/>
    <w:semiHidden/>
    <w:unhideWhenUsed/>
    <w:rsid w:val="00D72789"/>
    <w:rPr>
      <w:rFonts w:ascii="Tahoma" w:hAnsi="Tahoma" w:cs="Tahoma"/>
      <w:sz w:val="16"/>
      <w:szCs w:val="16"/>
    </w:rPr>
  </w:style>
  <w:style w:type="character" w:customStyle="1" w:styleId="BalloonTextChar">
    <w:name w:val="Balloon Text Char"/>
    <w:basedOn w:val="DefaultParagraphFont"/>
    <w:link w:val="BalloonText"/>
    <w:uiPriority w:val="99"/>
    <w:semiHidden/>
    <w:rsid w:val="00D72789"/>
    <w:rPr>
      <w:rFonts w:ascii="Tahoma" w:eastAsia="Times New Roman" w:hAnsi="Tahoma" w:cs="Tahoma"/>
      <w:sz w:val="16"/>
      <w:szCs w:val="16"/>
      <w:lang w:val="en-GB"/>
    </w:rPr>
  </w:style>
  <w:style w:type="character" w:styleId="Hyperlink">
    <w:name w:val="Hyperlink"/>
    <w:basedOn w:val="DefaultParagraphFont"/>
    <w:uiPriority w:val="99"/>
    <w:semiHidden/>
    <w:unhideWhenUsed/>
    <w:rsid w:val="009B4DE0"/>
    <w:rPr>
      <w:color w:val="0000FF" w:themeColor="hyperlink"/>
      <w:u w:val="single"/>
    </w:rPr>
  </w:style>
  <w:style w:type="paragraph" w:styleId="ListParagraph">
    <w:name w:val="List Paragraph"/>
    <w:basedOn w:val="Normal"/>
    <w:uiPriority w:val="99"/>
    <w:qFormat/>
    <w:rsid w:val="007C151C"/>
    <w:pPr>
      <w:ind w:left="720"/>
      <w:contextualSpacing/>
    </w:pPr>
  </w:style>
  <w:style w:type="paragraph" w:styleId="Header">
    <w:name w:val="header"/>
    <w:basedOn w:val="Normal"/>
    <w:link w:val="HeaderChar"/>
    <w:uiPriority w:val="99"/>
    <w:unhideWhenUsed/>
    <w:rsid w:val="0078207C"/>
    <w:pPr>
      <w:tabs>
        <w:tab w:val="center" w:pos="4513"/>
        <w:tab w:val="right" w:pos="9026"/>
      </w:tabs>
    </w:pPr>
  </w:style>
  <w:style w:type="character" w:customStyle="1" w:styleId="HeaderChar">
    <w:name w:val="Header Char"/>
    <w:basedOn w:val="DefaultParagraphFont"/>
    <w:link w:val="Header"/>
    <w:uiPriority w:val="99"/>
    <w:rsid w:val="0078207C"/>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78207C"/>
    <w:pPr>
      <w:tabs>
        <w:tab w:val="center" w:pos="4513"/>
        <w:tab w:val="right" w:pos="9026"/>
      </w:tabs>
    </w:pPr>
  </w:style>
  <w:style w:type="character" w:customStyle="1" w:styleId="FooterChar">
    <w:name w:val="Footer Char"/>
    <w:basedOn w:val="DefaultParagraphFont"/>
    <w:link w:val="Footer"/>
    <w:uiPriority w:val="99"/>
    <w:rsid w:val="0078207C"/>
    <w:rPr>
      <w:rFonts w:ascii="CG Times" w:eastAsia="Times New Roman" w:hAnsi="CG Times" w:cs="Times New Roman"/>
      <w:sz w:val="24"/>
      <w:szCs w:val="20"/>
      <w:lang w:val="en-GB"/>
    </w:rPr>
  </w:style>
  <w:style w:type="paragraph" w:styleId="NoSpacing">
    <w:name w:val="No Spacing"/>
    <w:uiPriority w:val="1"/>
    <w:qFormat/>
    <w:rsid w:val="004D5C94"/>
    <w:pPr>
      <w:spacing w:after="0" w:line="240" w:lineRule="auto"/>
    </w:pPr>
    <w:rPr>
      <w:rFonts w:ascii="CG Times" w:eastAsia="Times New Roman" w:hAnsi="CG Times" w:cs="Times New Roman"/>
      <w:sz w:val="24"/>
      <w:szCs w:val="20"/>
      <w:lang w:val="en-GB"/>
    </w:rPr>
  </w:style>
  <w:style w:type="character" w:customStyle="1" w:styleId="Heading2Char">
    <w:name w:val="Heading 2 Char"/>
    <w:basedOn w:val="DefaultParagraphFont"/>
    <w:link w:val="Heading2"/>
    <w:uiPriority w:val="9"/>
    <w:rsid w:val="004D5C94"/>
    <w:rPr>
      <w:rFonts w:asciiTheme="majorHAnsi" w:eastAsiaTheme="majorEastAsia" w:hAnsiTheme="majorHAnsi" w:cstheme="majorBidi"/>
      <w:color w:val="365F91" w:themeColor="accent1" w:themeShade="BF"/>
      <w:sz w:val="26"/>
      <w:szCs w:val="26"/>
      <w:lang w:val="en-GB"/>
    </w:rPr>
  </w:style>
  <w:style w:type="character" w:styleId="BookTitle">
    <w:name w:val="Book Title"/>
    <w:basedOn w:val="DefaultParagraphFont"/>
    <w:uiPriority w:val="33"/>
    <w:qFormat/>
    <w:rsid w:val="004D5C9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Rutter</dc:creator>
  <cp:lastModifiedBy>Portia Chambers</cp:lastModifiedBy>
  <cp:revision>6</cp:revision>
  <cp:lastPrinted>2018-03-22T02:32:00Z</cp:lastPrinted>
  <dcterms:created xsi:type="dcterms:W3CDTF">2018-04-24T06:42:00Z</dcterms:created>
  <dcterms:modified xsi:type="dcterms:W3CDTF">2020-02-21T03:37:00Z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K615F6400</vt:lpwstr>
  </property>
</Properties>
</file>